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object w:dxaOrig="3044" w:dyaOrig="1980">
          <v:rect xmlns:o="urn:schemas-microsoft-com:office:office" xmlns:v="urn:schemas-microsoft-com:vml" id="rectole0000000000" style="width:152.200000pt;height:99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  <w:t xml:space="preserve">''Ανακοίνωση για την ενεργοποίηση δικαιωμάτων 2015''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Mε ανακοίνωσή του ο ''Αγροτικός Συνεταιρισμός Εορδαίας''  ενημερών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ει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 τους παραγωγούς για τα δικαιολογητικά που θα χρειαστεί να προσκομίσουν για την ενεργοποίηση των δικαιωμάτων βασικής ενίσχυσης, καθώς και για να λάβουν τις ενισχύσεις στα συνδεδεμένα καθεστώτα.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  <w:t xml:space="preserve">Συγκεκριμένα θα χρειαστούν τα εξής: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ΑΠΑΡΑΙΤΗΤΑ ΔΙΑΙΚΑΙΟΛΟΓΗΤΙΚΑ 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ΚΑΡΤΕΛΕΣ ΚΑΙ ΤΙΜΟΛΟΓΙΑ ΓΙΑ ΤΑ ΣΚΛΗΡΑ ΣΙΤΑΡΙΑ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Ε9 ΤΟΥ 2015 ΓΙΑ ΤΥΧΩΝ ΙΔΙΟΚΤΗΤΑ ΧΩΡΑΦΙΑ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ΙΔΙΩΤΙΚΑ ΣΥΜΦΩΝΗΤΙΚΑ ΓΙΑ ΤΥΧΟΝ ΕΝΟΙΚΙΑΖΟΜΕΝΑ ΧΩΡΑΦΙΑ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ΕΚΚΑΘΑΡΙΣΤΙΚΟ ΣΗΜΕΙΩΜΑ ΤΟΥ 2014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ΘΕΩΡΗΜΕΝΟ ΜΗΤΡΩΟ ΑΝ ΥΠΑΡΧΟΥΝ ΖΩΑ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ΒΙΒΛΙΑΡΙΟ ΤΡΑΠΕΖΑΣ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ΦΩΤΟΤΥΠΙΑ ΤΑΥΤΟΤΗΤΑΣ ΣΕ ΠΕΡΙΠΤΩΣΗ ΠΟΥ ΕΧΕΙ ΑΛΛΑΞΕΙ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ΟΣΟΙ ΠΑΡΑΓΩΓΟΙ ΚΑΝΟΥΝ ΕΞΙΣΩΤΙΚΗ ΑΠΟΖΗΜΙΩΣΗ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ΦΩΤΟΤΥΠΙΑ ΤΑΥΤΟΤΗΤΑΣ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ΦΩΤΟΤΥΠΙΑ ΒΙΒΛΙΑΡΙΟΥ ΟΓΑ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ΦΩΤΟΤΥΠΙΑ ΒΙΒΛΙΑΡΙΟΥ ΤΡΑΠΕΖΑΣ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ΕΚΚΑΘΑΡΙΣΤΙΚΟ ΣΗΜΕΙΩΜΑ ΤΟΥ 2015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8"/>
          <w:shd w:fill="auto" w:val="clear"/>
        </w:rPr>
        <w:t xml:space="preserve">ΒΕΒΑΙΩΣΗ ΣΕ ΠΕΡΙΠΤΩΣΗ ΠΟΥ ΠΡΟΚΥΠΤΟΥΝ ΑΛΛΑ ΕΞΩΓΕΩΡΓΙΚΑ ΕΙΣΟΔΗΜΑΤΑ (πχ ΕΙΣΟΔΗΜΑΤΑ ΠΟΛΥΤΕΚΝΩΝ, ΤΡΙΤΕΚΝΩΝ ΚΤΛ)</w:t>
      </w:r>
    </w:p>
    <w:p>
      <w:pPr>
        <w:spacing w:before="0" w:after="200" w:line="276"/>
        <w:ind w:right="0" w:left="72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3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